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spacing w:line="320" w:lineRule="exact"/>
        <w:jc w:val="center"/>
        <w:rPr>
          <w:rFonts w:ascii="Times New Roman" w:cs="Times New Roman" w:hAnsi="Times New Roman" w:eastAsia="Times New Roman"/>
          <w:kern w:val="0"/>
          <w:sz w:val="28"/>
          <w:szCs w:val="28"/>
          <w:lang w:val="zh-TW" w:eastAsia="zh-TW"/>
        </w:rPr>
      </w:pP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國立東華大學</w:t>
      </w:r>
    </w:p>
    <w:p>
      <w:pPr>
        <w:pStyle w:val="內文 A"/>
        <w:spacing w:line="320" w:lineRule="exact"/>
        <w:jc w:val="center"/>
        <w:rPr>
          <w:rFonts w:ascii="Times New Roman" w:cs="Times New Roman" w:hAnsi="Times New Roman" w:eastAsia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  <w:rtl w:val="0"/>
          <w:lang w:val="en-US"/>
        </w:rPr>
        <w:t>National Dong Hwa University</w:t>
      </w:r>
    </w:p>
    <w:p>
      <w:pPr>
        <w:pStyle w:val="內文 A"/>
        <w:spacing w:line="320" w:lineRule="exact"/>
        <w:jc w:val="center"/>
        <w:rPr>
          <w:rFonts w:ascii="Times New Roman" w:cs="Times New Roman" w:hAnsi="Times New Roman" w:eastAsia="Times New Roman"/>
          <w:kern w:val="0"/>
          <w:sz w:val="28"/>
          <w:szCs w:val="28"/>
          <w:lang w:val="zh-TW" w:eastAsia="zh-TW"/>
        </w:rPr>
      </w:pP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國際交換交流學生至姐妹校心得報告</w:t>
      </w:r>
    </w:p>
    <w:p>
      <w:pPr>
        <w:pStyle w:val="內文 A"/>
        <w:spacing w:line="320" w:lineRule="exact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International Outbound Exchange Student Report</w:t>
      </w:r>
    </w:p>
    <w:p>
      <w:pPr>
        <w:pStyle w:val="內文 A"/>
        <w:spacing w:line="160" w:lineRule="exact"/>
        <w:ind w:firstLine="720"/>
        <w:jc w:val="center"/>
      </w:pPr>
    </w:p>
    <w:tbl>
      <w:tblPr>
        <w:tblW w:w="998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08"/>
        <w:gridCol w:w="1920"/>
        <w:gridCol w:w="3240"/>
        <w:gridCol w:w="1920"/>
      </w:tblGrid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姓名</w:t>
            </w:r>
            <w:r>
              <w:rPr>
                <w:rFonts w:ascii="Times New Roman" w:hAnsi="Times New Roman"/>
                <w:rtl w:val="0"/>
                <w:lang w:val="en-US"/>
              </w:rPr>
              <w:t>Name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廖韋茹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學號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 School No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Times New Roman" w:hAnsi="Times New Roman"/>
                <w:kern w:val="2"/>
                <w:rtl w:val="0"/>
                <w:lang w:val="en-US"/>
              </w:rPr>
              <w:t>410492036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原系所</w:t>
            </w:r>
            <w:r>
              <w:rPr>
                <w:rFonts w:ascii="Times New Roman" w:hAnsi="Times New Roman"/>
                <w:rtl w:val="0"/>
                <w:lang w:val="en-US"/>
              </w:rPr>
              <w:t>Home Department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公共行政學系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前往國家</w:t>
            </w:r>
            <w:r>
              <w:rPr>
                <w:rFonts w:ascii="Times New Roman" w:hAnsi="Times New Roman"/>
                <w:rtl w:val="0"/>
                <w:lang w:val="en-US"/>
              </w:rPr>
              <w:t>Nationality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中國大陸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前往學校</w:t>
            </w:r>
            <w:r>
              <w:rPr>
                <w:rFonts w:ascii="Times New Roman" w:hAnsi="Times New Roman"/>
                <w:rtl w:val="0"/>
                <w:lang w:val="en-US"/>
              </w:rPr>
              <w:t>Host University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南開大學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交換系所</w:t>
            </w:r>
            <w:r>
              <w:rPr>
                <w:rFonts w:ascii="Times New Roman" w:hAnsi="Times New Roman"/>
                <w:rtl w:val="0"/>
                <w:lang w:val="en-US"/>
              </w:rPr>
              <w:t>Host Department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400" w:lineRule="exact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歷史學院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交換交流期間</w:t>
            </w:r>
          </w:p>
          <w:p>
            <w:pPr>
              <w:pStyle w:val="內文 A"/>
              <w:spacing w:line="400" w:lineRule="exact"/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 Exchange Period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240" w:lineRule="atLeast"/>
              <w:jc w:val="left"/>
            </w:pPr>
            <w:r>
              <w:rPr>
                <w:rFonts w:eastAsia="標楷體" w:hint="eastAsia"/>
                <w:rtl w:val="0"/>
                <w:lang w:val="zh-TW" w:eastAsia="zh-TW"/>
              </w:rPr>
              <w:t>自</w:t>
            </w:r>
            <w:r>
              <w:rPr>
                <w:rFonts w:ascii="Times New Roman" w:hAnsi="Times New Roman"/>
                <w:rtl w:val="0"/>
                <w:lang w:val="en-US"/>
              </w:rPr>
              <w:t>From _2018__</w:t>
            </w:r>
            <w:r>
              <w:rPr>
                <w:rFonts w:eastAsia="標楷體" w:hint="eastAsia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rtl w:val="0"/>
                <w:lang w:val="en-US"/>
              </w:rPr>
              <w:t>year /__09__</w:t>
            </w:r>
            <w:r>
              <w:rPr>
                <w:rFonts w:eastAsia="標楷體" w:hint="eastAsia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month </w:t>
            </w:r>
          </w:p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至</w:t>
            </w:r>
            <w:r>
              <w:rPr>
                <w:rFonts w:ascii="Times New Roman" w:hAnsi="Times New Roman"/>
                <w:rtl w:val="0"/>
                <w:lang w:val="en-US"/>
              </w:rPr>
              <w:t>To  _2019__</w:t>
            </w:r>
            <w:r>
              <w:rPr>
                <w:rFonts w:eastAsia="標楷體" w:hint="eastAsia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rtl w:val="0"/>
                <w:lang w:val="en-US"/>
              </w:rPr>
              <w:t>year /__01__</w:t>
            </w:r>
            <w:r>
              <w:rPr>
                <w:rFonts w:eastAsia="標楷體" w:hint="eastAsia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rtl w:val="0"/>
                <w:lang w:val="en-US"/>
              </w:rPr>
              <w:t>month</w:t>
            </w:r>
          </w:p>
        </w:tc>
      </w:tr>
      <w:tr>
        <w:tblPrEx>
          <w:shd w:val="clear" w:color="auto" w:fill="ced7e7"/>
        </w:tblPrEx>
        <w:trPr>
          <w:trHeight w:val="15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</w:pPr>
            <w:r>
              <w:rPr>
                <w:rFonts w:eastAsia="標楷體" w:hint="eastAsia"/>
                <w:rtl w:val="0"/>
                <w:lang w:val="zh-TW" w:eastAsia="zh-TW"/>
              </w:rPr>
              <w:t>電子信箱</w:t>
            </w:r>
            <w:r>
              <w:rPr>
                <w:rFonts w:ascii="Times New Roman" w:hAnsi="Times New Roman"/>
                <w:rtl w:val="0"/>
                <w:lang w:val="en-US"/>
              </w:rPr>
              <w:t>(</w:t>
            </w:r>
            <w:r>
              <w:rPr>
                <w:rFonts w:eastAsia="標楷體" w:hint="eastAsia"/>
                <w:rtl w:val="0"/>
                <w:lang w:val="zh-TW" w:eastAsia="zh-TW"/>
              </w:rPr>
              <w:t>供未來有興趣的同學與你們聯繫，非必要</w:t>
            </w:r>
            <w:r>
              <w:rPr>
                <w:rFonts w:ascii="Times New Roman" w:hAnsi="Times New Roman"/>
                <w:rtl w:val="0"/>
                <w:lang w:val="en-US"/>
              </w:rPr>
              <w:t>)</w:t>
            </w:r>
          </w:p>
          <w:p>
            <w:pPr>
              <w:pStyle w:val="內文 A"/>
              <w:spacing w:line="400" w:lineRule="exact"/>
            </w:pPr>
            <w:r>
              <w:rPr>
                <w:rFonts w:ascii="Times New Roman" w:hAnsi="Times New Roman"/>
                <w:rtl w:val="0"/>
                <w:lang w:val="en-US"/>
              </w:rPr>
              <w:t>Contact Email (Optional)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240" w:lineRule="atLeast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"mailto:410492036@gms.ndhu.edu.tw"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rtl w:val="0"/>
                <w:lang w:val="en-US"/>
              </w:rPr>
              <w:t>410492036@gms.ndhu.edu.tw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1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  <w:rPr>
                <w:rStyle w:val="無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住宿費用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)</w:t>
            </w:r>
          </w:p>
          <w:p>
            <w:pPr>
              <w:pStyle w:val="內文 A"/>
              <w:spacing w:line="400" w:lineRule="exact"/>
            </w:pP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Accommodation Cost(NTD)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240" w:lineRule="atLeast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kern w:val="2"/>
                <w:rtl w:val="0"/>
                <w:lang w:val="en-US"/>
              </w:rPr>
              <w:t>2700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</w:rPr>
              <w:t>元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  <w:rPr>
                <w:rStyle w:val="無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機票費用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)</w:t>
            </w:r>
          </w:p>
          <w:p>
            <w:pPr>
              <w:pStyle w:val="內文 A"/>
              <w:spacing w:line="400" w:lineRule="exact"/>
            </w:pP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Airplane Cost(NTD)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240" w:lineRule="atLeast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去：高雄</w:t>
            </w:r>
            <w:r>
              <w:rPr>
                <w:rStyle w:val="無"/>
                <w:rFonts w:ascii="Times New Roman" w:hAnsi="Times New Roman" w:hint="default"/>
                <w:kern w:val="2"/>
                <w:rtl w:val="0"/>
                <w:lang w:val="en-US"/>
              </w:rPr>
              <w:t>—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天津：新台幣</w:t>
            </w:r>
            <w:r>
              <w:rPr>
                <w:rStyle w:val="無"/>
                <w:rFonts w:ascii="Times New Roman" w:hAnsi="Times New Roman"/>
                <w:kern w:val="2"/>
                <w:rtl w:val="0"/>
                <w:lang w:val="en-US"/>
              </w:rPr>
              <w:t>7400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</w:rPr>
              <w:t>元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"/>
                <w:lang w:val="en-US"/>
              </w:rPr>
              <w:br w:type="textWrapping"/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</w:rPr>
              <w:t>回：香港</w:t>
            </w:r>
            <w:r>
              <w:rPr>
                <w:rStyle w:val="無"/>
                <w:rFonts w:ascii="Times New Roman" w:hAnsi="Times New Roman" w:hint="default"/>
                <w:kern w:val="2"/>
                <w:rtl w:val="0"/>
                <w:lang w:val="en-US"/>
              </w:rPr>
              <w:t>—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高雄：新台幣</w:t>
            </w:r>
            <w:r>
              <w:rPr>
                <w:rStyle w:val="無"/>
                <w:rFonts w:ascii="Times New Roman" w:hAnsi="Times New Roman"/>
                <w:kern w:val="2"/>
                <w:rtl w:val="0"/>
                <w:lang w:val="en-US"/>
              </w:rPr>
              <w:t>4000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</w:rPr>
              <w:t>元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  <w:rPr>
                <w:rStyle w:val="無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生活費用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)</w:t>
            </w:r>
          </w:p>
          <w:p>
            <w:pPr>
              <w:pStyle w:val="內文 A"/>
              <w:spacing w:line="400" w:lineRule="exact"/>
            </w:pP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Living Cost(NTD)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"/>
              <w:widowControl w:val="0"/>
              <w:spacing w:line="240" w:lineRule="atLeast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kern w:val="2"/>
                <w:rtl w:val="0"/>
                <w:lang w:val="en-US"/>
              </w:rPr>
              <w:t>90000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rtl w:val="0"/>
              </w:rPr>
              <w:t>元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00" w:lineRule="exact"/>
              <w:rPr>
                <w:rStyle w:val="無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其他費用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(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新台幣</w:t>
            </w: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)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請註明</w:t>
            </w:r>
          </w:p>
          <w:p>
            <w:pPr>
              <w:pStyle w:val="內文 A"/>
              <w:spacing w:line="400" w:lineRule="exact"/>
            </w:pPr>
            <w:r>
              <w:rPr>
                <w:rStyle w:val="無"/>
                <w:rFonts w:ascii="Times New Roman" w:hAnsi="Times New Roman"/>
                <w:rtl w:val="0"/>
                <w:lang w:val="en-US"/>
              </w:rPr>
              <w:t>Other Cost(NTD)</w:t>
            </w:r>
          </w:p>
        </w:tc>
        <w:tc>
          <w:tcPr>
            <w:tcW w:type="dxa" w:w="7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78" w:hRule="atLeast"/>
        </w:trPr>
        <w:tc>
          <w:tcPr>
            <w:tcW w:type="dxa" w:w="99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(Web)"/>
              <w:jc w:val="both"/>
              <w:rPr>
                <w:rStyle w:val="無"/>
                <w:rFonts w:ascii="標楷體" w:cs="標楷體" w:hAnsi="標楷體" w:eastAsia="標楷體"/>
              </w:rPr>
            </w:pP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至少</w:t>
            </w:r>
            <w:r>
              <w:rPr>
                <w:rStyle w:val="無"/>
                <w:rFonts w:ascii="標楷體" w:hAnsi="標楷體"/>
                <w:rtl w:val="0"/>
                <w:lang w:val="en-US"/>
              </w:rPr>
              <w:t>1500</w:t>
            </w:r>
            <w:r>
              <w:rPr>
                <w:rStyle w:val="無"/>
                <w:rFonts w:eastAsia="標楷體" w:hint="eastAsia"/>
                <w:rtl w:val="0"/>
                <w:lang w:val="zh-TW" w:eastAsia="zh-TW"/>
              </w:rPr>
              <w:t>字</w:t>
            </w:r>
          </w:p>
          <w:p>
            <w:pPr>
              <w:pStyle w:val="內文 B"/>
              <w:bidi w:val="0"/>
              <w:ind w:left="0" w:right="0" w:firstLine="0"/>
              <w:jc w:val="left"/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rtl w:val="0"/>
              </w:rPr>
            </w:pPr>
            <w:r>
              <w:rPr>
                <w:rStyle w:val="無"/>
                <w:rFonts w:eastAsia="Songti TC Bold" w:hint="eastAsia"/>
                <w:sz w:val="32"/>
                <w:szCs w:val="32"/>
                <w:rtl w:val="0"/>
                <w:lang w:val="zh-TW" w:eastAsia="zh-TW"/>
              </w:rPr>
              <w:t>踏出舒適圈，隻身前往中國大陸讓我收穫滿滿</w:t>
            </w:r>
            <w:r>
              <w:rPr>
                <w:rStyle w:val="無"/>
                <w:rFonts w:ascii="Arial Unicode MS" w:cs="Arial Unicode MS" w:hAnsi="Arial Unicode MS" w:eastAsia="Arial Unicode MS"/>
                <w:sz w:val="32"/>
                <w:szCs w:val="32"/>
                <w:lang w:val="zh-TW" w:eastAsia="zh-TW"/>
              </w:rPr>
              <w:br w:type="textWrapping"/>
            </w:r>
            <w:r>
              <w:rPr>
                <w:rStyle w:val="無"/>
                <w:rFonts w:ascii="Helvetica" w:hAnsi="Helvetica"/>
                <w:sz w:val="22"/>
                <w:szCs w:val="22"/>
                <w:rtl w:val="0"/>
                <w:lang w:val="zh-TW" w:eastAsia="zh-TW"/>
              </w:rPr>
              <w:t xml:space="preserve">         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現在的我，對交換生活發生的一切還念念不忘</w:t>
            </w:r>
            <w:r>
              <w:rPr>
                <w:rStyle w:val="無"/>
                <w:rFonts w:eastAsia="Arial Unicode MS" w:hint="eastAsia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這些日子我很開心能在一個全新的地方重新生活</w:t>
            </w:r>
            <w:r>
              <w:rPr>
                <w:rStyle w:val="無"/>
                <w:rFonts w:eastAsia="Arial Unicode MS" w:hint="eastAsia"/>
                <w:sz w:val="22"/>
                <w:szCs w:val="22"/>
                <w:rtl w:val="0"/>
                <w:lang w:val="zh-TW" w:eastAsia="zh-TW"/>
              </w:rPr>
              <w:t>，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隻身前往到陌生的地方</w:t>
            </w:r>
            <w:r>
              <w:rPr>
                <w:rStyle w:val="無"/>
                <w:rFonts w:eastAsia="Arial Unicode MS" w:hint="eastAsia"/>
                <w:sz w:val="22"/>
                <w:szCs w:val="22"/>
                <w:rtl w:val="0"/>
                <w:lang w:val="zh-TW" w:eastAsia="zh-TW"/>
              </w:rPr>
              <w:t>、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身邊的人需要重新熟識，還記得剛到天津的第一天學校只有我一個台灣交換生到達，沒有網路的我從機場搭地鐵再跟同學拼車到學校宿舍放行李，當時的天津很冷，雖然舟車勞段感到疲倦但還是帶著期待的心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情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在校園裡遊走</w:t>
            </w:r>
            <w:r>
              <w:rPr>
                <w:rStyle w:val="無"/>
                <w:rFonts w:eastAsia="Arial Unicode MS" w:hint="eastAsia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從一開始沒有手機網路到最後能在大陸自在的自由行，不得不稱讚大陸的網路支付及其他服務系統的完整，交通方面也很全面，而這段熟悉當地的過程讓我很有成就感，踏出舒適圈使我變得更獨立</w:t>
            </w:r>
            <w:r>
              <w:rPr>
                <w:rStyle w:val="無"/>
                <w:rFonts w:eastAsia="Arial Unicode MS" w:hint="eastAsia"/>
                <w:sz w:val="22"/>
                <w:szCs w:val="22"/>
                <w:rtl w:val="0"/>
                <w:lang w:val="zh-TW" w:eastAsia="zh-TW"/>
              </w:rPr>
              <w:t>。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交換不只能了解當地大學的上課模式、校園環境、同學積極度等等，更重要的是體驗了不同地方的民情、飲食、文化以及當地人民的想法，幅員廣大的大陸真的有很多值得挖掘的地方，這次走出台灣真的讓我大開眼界，很慶幸能在寶貴的大學生涯中擁有這個機會去開闊眼界，也很珍惜這四個半月的時光，我也把握機會紀錄我發現的差異及經歷的事情，特別感謝這段交換生活遇到的所有人。中國大陸是我一直想去探索的地方，但因為政治的關係剛開始有點擔憂，因為不了解才有誤會，我想好好把握這次交換的機會盡可能地去瞭解這塊土地。</w:t>
            </w: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lang w:val="zh-TW" w:eastAsia="zh-TW"/>
              </w:rPr>
            </w:pP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0" w:right="0" w:firstLine="0"/>
              <w:jc w:val="left"/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rtl w:val="0"/>
              </w:rPr>
            </w:pPr>
            <w:r>
              <w:rPr>
                <w:rStyle w:val="無"/>
                <w:rFonts w:eastAsia="Songti TC Bold" w:hint="eastAsia"/>
                <w:sz w:val="32"/>
                <w:szCs w:val="32"/>
                <w:rtl w:val="0"/>
                <w:lang w:val="zh-TW" w:eastAsia="zh-TW"/>
              </w:rPr>
              <w:t>在天津生活了四個半月，交換到具有深厚歷史底蘊的「南開大學」</w:t>
            </w:r>
            <w:r>
              <w:rPr>
                <w:rStyle w:val="無"/>
                <w:rFonts w:ascii="Arial Unicode MS" w:cs="Arial Unicode MS" w:hAnsi="Arial Unicode MS" w:eastAsia="Arial Unicode MS"/>
                <w:sz w:val="32"/>
                <w:szCs w:val="32"/>
                <w:lang w:val="zh-TW" w:eastAsia="zh-TW"/>
              </w:rPr>
              <w:br w:type="textWrapping"/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 xml:space="preserve">        這次選擇了天津的南開大學交換，一來是想體驗北方生活，二來南開大學是大陸一流的學校。寒冷的北方、充滿異國風情的城市，是待過幾個月後我對天津的註解，一開始很不適應北方的寒冷，但看到枯樹、結冰的湖水等等，讓一直生長在南方的我感到新奇，也體驗了一回寒風刺骨，偏油偏鹹飲食和文化上和台灣確實有很大的差異。而南開大學是一間充滿歷史氣息的學校，經歷抗日後的南開始我尊敬，走在舊校區的道路上更多了一層淡淡的歷史滄桑。我的校區在津南校區，設備很大很新，宿舍的環境也非常好，食堂裡學餐有多種選擇，從東北菜到川菜，再到南方菜，種類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十分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多樣，學餐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價格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也較台灣的大學低，特別的是，學校幾乎都是用校園卡付費，洗澡、喝水到吃飯都是。住宿的部分和其他台灣交換生不同的是，我是和大陸學生一起居住，能更真實頻繁地和當地學生交流、了解他們的生活習慣，也得知他們大四的學生通常都在實習後準備找工作或是考研究所，相較之下我比較偏好他們的教學制度。在學校上課時感覺出和台灣教學模式的不同，內容及用詞都有所差異，同學的學習十分積極、表達能力也非常好，上課過程中使我更了解大陸的歷史經濟及趨勢等等，課餘時間我也加入社團、參加學校的活動，可以發現從入社面試到迎新活動，當地學生都非常認真地經營社團，辦的活動內容精彩、排場很大。我還去了一間鼎鼎有名的會計公司參訪，參訪過程中不只看到公司令人羨慕的環境設備及福利，也看出企業求賢若渴地期望學生能參加實習、求職，而台下的學生同樣優秀、積極地在回答問題。在學校遇到的大陸同學都對我很好，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聽到我的口音都會很熱情的和我搭話、向我介紹大陸，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幫助我去行政樓處理問題，甚至在學期末請我吃飯，讓我在異地感受到滿滿的溫暖。</w:t>
            </w: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0" w:right="0" w:firstLine="0"/>
              <w:jc w:val="left"/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/>
                <w:sz w:val="26"/>
                <w:szCs w:val="26"/>
                <w:lang w:val="zh-TW" w:eastAsia="zh-TW"/>
              </w:rPr>
              <w:br w:type="textWrapping"/>
            </w: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lang w:val="zh-TW" w:eastAsia="zh-TW"/>
              </w:rPr>
            </w:pP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0" w:right="0" w:firstLine="0"/>
              <w:jc w:val="left"/>
              <w:rPr>
                <w:rStyle w:val="無"/>
                <w:rFonts w:ascii="Helvetica" w:cs="Helvetica" w:hAnsi="Helvetica" w:eastAsia="Helvetica"/>
                <w:rtl w:val="0"/>
              </w:rPr>
            </w:pPr>
            <w:r>
              <w:rPr>
                <w:rStyle w:val="無"/>
                <w:rFonts w:ascii="Songti TC Regular" w:hAnsi="Songti TC Regular"/>
                <w:sz w:val="26"/>
                <w:szCs w:val="26"/>
                <w:rtl w:val="0"/>
                <w:lang w:val="zh-TW" w:eastAsia="zh-TW"/>
              </w:rPr>
              <w:t xml:space="preserve">      </w:t>
            </w:r>
          </w:p>
          <w:p>
            <w:pPr>
              <w:pStyle w:val="內文 A"/>
              <w:spacing w:line="400" w:lineRule="exact"/>
              <w:rPr>
                <w:rStyle w:val="無"/>
                <w:rFonts w:ascii="Times New Roman" w:cs="Times New Roman" w:hAnsi="Times New Roman" w:eastAsia="Times New Roman"/>
              </w:rPr>
            </w:pPr>
          </w:p>
          <w:p>
            <w:pPr>
              <w:pStyle w:val="內文 A"/>
              <w:spacing w:line="400" w:lineRule="exact"/>
              <w:rPr>
                <w:rStyle w:val="無"/>
                <w:rFonts w:ascii="Times New Roman" w:cs="Times New Roman" w:hAnsi="Times New Roman" w:eastAsia="Times New Roman"/>
              </w:rPr>
            </w:pPr>
          </w:p>
          <w:p>
            <w:pPr>
              <w:pStyle w:val="內文 A"/>
              <w:spacing w:line="400" w:lineRule="exact"/>
              <w:rPr>
                <w:rStyle w:val="無"/>
                <w:rFonts w:ascii="Times New Roman" w:cs="Times New Roman" w:hAnsi="Times New Roman" w:eastAsia="Times New Roman"/>
              </w:rPr>
            </w:pPr>
          </w:p>
          <w:p>
            <w:pPr>
              <w:pStyle w:val="內文 A"/>
              <w:spacing w:line="400" w:lineRule="exact"/>
            </w:pPr>
            <w:r>
              <w:rPr>
                <w:rStyle w:val="無"/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12690" w:hRule="atLeast"/>
        </w:trPr>
        <w:tc>
          <w:tcPr>
            <w:tcW w:type="dxa" w:w="99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無"/>
                <w:rFonts w:ascii="Songti TC Bold" w:cs="Songti TC Bold" w:hAnsi="Songti TC Bold" w:eastAsia="Songti TC Bold"/>
                <w:sz w:val="32"/>
                <w:szCs w:val="32"/>
              </w:rPr>
            </w:pPr>
            <w:r>
              <w:rPr>
                <w:rStyle w:val="無"/>
                <w:rFonts w:ascii="Arial Unicode MS" w:cs="Arial Unicode MS" w:hAnsi="Arial Unicode MS" w:eastAsia="Arial Unicode MS"/>
                <w:sz w:val="26"/>
                <w:szCs w:val="26"/>
                <w:lang w:val="zh-TW" w:eastAsia="zh-TW"/>
              </w:rPr>
              <w:br w:type="textWrapping"/>
            </w:r>
            <w:r>
              <w:rPr>
                <w:rStyle w:val="無"/>
                <w:rFonts w:eastAsia="Songti TC Bold" w:hint="eastAsia"/>
                <w:sz w:val="32"/>
                <w:szCs w:val="32"/>
                <w:rtl w:val="0"/>
                <w:lang w:val="zh-TW" w:eastAsia="zh-TW"/>
              </w:rPr>
              <w:t>走訪中國大陸各地十五個城市，體驗從未體驗過的生活</w:t>
            </w: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0" w:right="0" w:firstLine="0"/>
              <w:jc w:val="left"/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rtl w:val="0"/>
              </w:rPr>
            </w:pP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 xml:space="preserve">        在課餘時間，我抓緊時間旅遊，這次總共遊歷了</w:t>
            </w:r>
            <w:r>
              <w:rPr>
                <w:rStyle w:val="無"/>
                <w:rFonts w:ascii="Songti TC Regular" w:hAnsi="Songti TC Regular"/>
                <w:sz w:val="26"/>
                <w:szCs w:val="26"/>
                <w:rtl w:val="0"/>
                <w:lang w:val="en-US"/>
              </w:rPr>
              <w:t>15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個城市，最西邊到了敦煌，最南邊則到了廣州，橫跨了華北、華中、華南還有西北，去了首都北京故宮萬里長城、上海及江南一代置身小橋流水、敦煌見證沙漠雪山嘉峪關和莫高窟、吃了四川美食和觀賞熊貓、看了重慶的夜景、參觀西安的兵馬俑和著名小吃肉夾饃、去了青島感受異國風情，最後再去廣州及香港，這幾次的旅遊帶給我滿滿的收穫，不同地方的美食、文化及交通方式，都給我帶來全新的體驗，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坐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著綠皮車搖搖晃晃十幾個小時，看著窗外的風景從都市變為荒漠，和車上的人們聊著此次出行的目的，有人是要打工，有人則是要返家，路途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中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遇到不少熱情的當地人，操著不同口音詢問我們來自哪裡、和我們討論兩岸議題，在規劃旅途的過程中也更了解不同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省份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，走訪了歷史課本上出現的場景，我從沒想過在大陸這四個半月的時間能走訪這麼多的地方，也體驗了一人自由行，在青年旅館裡認識一群同樣擁有夢想的熱血青年，其中一人給予我住宿優惠才有機會到烏鎮這個這麼美的地方。更重要的是，在十一長假的第一天，我回到了外公的故鄉</w:t>
            </w:r>
            <w:r>
              <w:rPr>
                <w:rStyle w:val="無"/>
                <w:rFonts w:ascii="Songti TC Regular" w:hAnsi="Songti TC Regular" w:hint="default"/>
                <w:sz w:val="26"/>
                <w:szCs w:val="26"/>
                <w:rtl w:val="0"/>
                <w:lang w:val="en-US"/>
              </w:rPr>
              <w:t>—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山東省魚台縣，終於可以親歷外公心心念念的家鄉，經過了十三小時的車程，一踏進家門口就被熱情的親戚包圍，雖然從沒和這些親戚見過面、有時聽不懂他們濃厚的鄉音，但看著牆上掛著外公當時全家返家探親的照片，心中不僅酸楚了起來，那是一個十分純樸的農村，親戚家一戶捱著一戶，雖然物質生活上不如大都市，但可以感覺到他們心靈上的富足，那三天讓我吃好住好，在分開時他們和我都留下了不捨的淚水，我度過了非常幸福的三天。接著學校安排了「北京三日遊」、「天津郊區兩日遊」，讓我們更了解這兩個直轄市，和老師對談的過程中更了解南開大學，當時的北京很美，葉子轉紅溫度開始下降，去了幾個著名景點，吃了北京著名烤鴨店「全聚德」，最後一天由北京大學的學生當導覽，帶我們認識北京大學，也見識了中國第一學府，古今交錯的建築，設備多元真的讓人羨慕，在北京多留兩天，我去了郊區的「古北水鎮」，這應該可以稱得上是我在大陸最喜歡的景點！隔週，學校帶我們觀看了天津海河的夜景、摘蘋果再去爬了天津郊區的盤山，晚上住在農莊讓我們體會農家生活，隔天吃了當地鼎鼎有名的「狗不理包子」餐廳，學校這幾天的招待十分愉快。在天津體驗了滑雪，體驗了在結冰的湖上滑冰，</w:t>
            </w:r>
            <w:r>
              <w:rPr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也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走訪了天津不少的街道、參觀名人的故居等等，天津雖然不如其他一線城市有名氣，但我喜歡這種不是太快的步調、能慢慢挖掘她的美。</w:t>
            </w: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無"/>
                <w:rFonts w:ascii="Songti TC Regular" w:cs="Songti TC Regular" w:hAnsi="Songti TC Regular" w:eastAsia="Songti TC Regular"/>
                <w:sz w:val="26"/>
                <w:szCs w:val="26"/>
                <w:lang w:val="zh-TW" w:eastAsia="zh-TW"/>
              </w:rPr>
            </w:pPr>
          </w:p>
          <w:p>
            <w:pPr>
              <w:pStyle w:val="內文 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rStyle w:val="無"/>
                <w:rFonts w:ascii="Songti TC Regular" w:hAnsi="Songti TC Regular"/>
                <w:sz w:val="26"/>
                <w:szCs w:val="26"/>
                <w:rtl w:val="0"/>
                <w:lang w:val="en-US"/>
              </w:rPr>
              <w:t xml:space="preserve">        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很慶幸當時的自己有做出去大陸交換的決定，以及感謝家人的支持，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父母親還特地在十二月中前來天津找我。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在大學的最後一年能再寫下自己青春的一頁，交換生活對我來說真的很美，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雖然過程中有挫折和不適應，但對我來說都是成長重要的養分，</w:t>
            </w:r>
            <w:r>
              <w:rPr>
                <w:rStyle w:val="無"/>
                <w:rFonts w:eastAsia="Songti TC Regular" w:hint="eastAsia"/>
                <w:sz w:val="26"/>
                <w:szCs w:val="26"/>
                <w:rtl w:val="0"/>
                <w:lang w:val="zh-TW" w:eastAsia="zh-TW"/>
              </w:rPr>
              <w:t>遇到的一切我會永遠記得，將這些美好的回憶永遠珍藏在心中。</w:t>
            </w:r>
          </w:p>
        </w:tc>
      </w:tr>
    </w:tbl>
    <w:p>
      <w:pPr>
        <w:pStyle w:val="內文 A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851" w:right="851" w:bottom="851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標楷體">
    <w:charset w:val="00"/>
    <w:family w:val="roman"/>
    <w:pitch w:val="default"/>
  </w:font>
  <w:font w:name="新細明體">
    <w:charset w:val="00"/>
    <w:family w:val="roman"/>
    <w:pitch w:val="default"/>
  </w:font>
  <w:font w:name="Songti TC Regular">
    <w:charset w:val="00"/>
    <w:family w:val="roman"/>
    <w:pitch w:val="default"/>
  </w:font>
  <w:font w:name="Songti T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zh-TW" w:eastAsia="zh-TW"/>
    </w:rPr>
  </w:style>
  <w:style w:type="paragraph" w:styleId="本文">
    <w:name w:val="本文"/>
    <w:next w:val="本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color w:val="0000ff"/>
      <w:kern w:val="2"/>
      <w:u w:val="single" w:color="0000ff"/>
      <w:lang w:val="en-US"/>
    </w:rPr>
  </w:style>
  <w:style w:type="paragraph" w:styleId="內文 (Web)">
    <w:name w:val="內文 (Web)"/>
    <w:next w:val="內文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新細明體" w:cs="新細明體" w:hAnsi="新細明體" w:eastAsia="新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內文 B">
    <w:name w:val="內文 B"/>
    <w:next w:val="內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